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0" distT="0" distL="0" distR="0">
            <wp:extent cx="1981200" cy="884555"/>
            <wp:effectExtent b="0" l="0" r="0" t="0"/>
            <wp:docPr descr="arbnet-logo.gif" id="1" name="image01.gif"/>
            <a:graphic>
              <a:graphicData uri="http://schemas.openxmlformats.org/drawingml/2006/picture">
                <pic:pic>
                  <pic:nvPicPr>
                    <pic:cNvPr descr="arbnet-logo.gif" id="0" name="image01.gif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8845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00b050"/>
          <w:u w:val="single"/>
          <w:rtl w:val="0"/>
        </w:rPr>
        <w:t xml:space="preserve">國際樹木園聯盟認證網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u w:val="single"/>
          <w:rtl w:val="0"/>
        </w:rPr>
        <w:t xml:space="preserve">植物引種政策總覽（2014）</w:t>
      </w:r>
    </w:p>
    <w:p w:rsidR="00000000" w:rsidDel="00000000" w:rsidP="00000000" w:rsidRDefault="00000000" w:rsidRPr="00000000">
      <w:pPr>
        <w:ind w:firstLine="440"/>
        <w:contextualSpacing w:val="0"/>
      </w:pPr>
      <w:r w:rsidDel="00000000" w:rsidR="00000000" w:rsidRPr="00000000">
        <w:rPr>
          <w:rtl w:val="0"/>
        </w:rPr>
        <w:t xml:space="preserve">摘自：Rakow, DA和SA Lee. 2011.公共花園管理，約翰</w:t>
      </w:r>
      <w:r w:rsidDel="00000000" w:rsidR="00000000" w:rsidRPr="00000000">
        <w:rPr>
          <w:rFonts w:ascii="SimSun" w:cs="SimSun" w:eastAsia="SimSun" w:hAnsi="SimSun"/>
          <w:rtl w:val="0"/>
        </w:rPr>
        <w:t xml:space="preserve">·威利父子公司，霍布肯，新澤西，259頁。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Rakow, DA, and SA Lee. 2011. Public Garden Management. John Wiley &amp; Sons, Inc., Hoboken, New Jersey. p. 259.</w:t>
      </w:r>
    </w:p>
    <w:p w:rsidR="00000000" w:rsidDel="00000000" w:rsidP="00000000" w:rsidRDefault="00000000" w:rsidRPr="00000000">
      <w:pPr>
        <w:ind w:firstLine="4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432"/>
        <w:contextualSpacing w:val="0"/>
      </w:pPr>
      <w:r w:rsidDel="00000000" w:rsidR="00000000" w:rsidRPr="00000000">
        <w:rPr>
          <w:rtl w:val="0"/>
        </w:rPr>
        <w:t xml:space="preserve">植物引種的目的是對植物資源的不斷收集、評價、展示、應用，這也是植物園的最主要任務。植物引種政策通常還要確立一個管理過程，表明是誰參與決策和可持續管理。一個引種政策通常包括以下具體內容：</w:t>
      </w:r>
    </w:p>
    <w:p w:rsidR="00000000" w:rsidDel="00000000" w:rsidP="00000000" w:rsidRDefault="00000000" w:rsidRPr="00000000">
      <w:pPr>
        <w:ind w:firstLine="432"/>
        <w:contextualSpacing w:val="0"/>
      </w:pPr>
      <w:r w:rsidDel="00000000" w:rsidR="00000000" w:rsidRPr="00000000">
        <w:rPr>
          <w:rFonts w:ascii="SimSun" w:cs="SimSun" w:eastAsia="SimSun" w:hAnsi="SimSun"/>
          <w:rtl w:val="0"/>
        </w:rPr>
        <w:t xml:space="preserve">·</w:t>
      </w:r>
      <w:r w:rsidDel="00000000" w:rsidR="00000000" w:rsidRPr="00000000">
        <w:rPr>
          <w:rtl w:val="0"/>
        </w:rPr>
        <w:t xml:space="preserve">引種任務</w:t>
      </w:r>
    </w:p>
    <w:p w:rsidR="00000000" w:rsidDel="00000000" w:rsidP="00000000" w:rsidRDefault="00000000" w:rsidRPr="00000000">
      <w:pPr>
        <w:ind w:firstLine="432"/>
        <w:contextualSpacing w:val="0"/>
      </w:pPr>
      <w:r w:rsidDel="00000000" w:rsidR="00000000" w:rsidRPr="00000000">
        <w:rPr>
          <w:rFonts w:ascii="SimSun" w:cs="SimSun" w:eastAsia="SimSun" w:hAnsi="SimSun"/>
          <w:rtl w:val="0"/>
        </w:rPr>
        <w:t xml:space="preserve">·收集範圍，包括入侵物種的政策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432"/>
        <w:contextualSpacing w:val="0"/>
      </w:pPr>
      <w:r w:rsidDel="00000000" w:rsidR="00000000" w:rsidRPr="00000000">
        <w:rPr>
          <w:rFonts w:ascii="SimSun" w:cs="SimSun" w:eastAsia="SimSun" w:hAnsi="SimSun"/>
          <w:rtl w:val="0"/>
        </w:rPr>
        <w:t xml:space="preserve">·接收和存檔標準</w:t>
      </w:r>
    </w:p>
    <w:p w:rsidR="00000000" w:rsidDel="00000000" w:rsidP="00000000" w:rsidRDefault="00000000" w:rsidRPr="00000000">
      <w:pPr>
        <w:ind w:firstLine="432"/>
        <w:contextualSpacing w:val="0"/>
      </w:pPr>
      <w:r w:rsidDel="00000000" w:rsidR="00000000" w:rsidRPr="00000000">
        <w:rPr>
          <w:rFonts w:ascii="SimSun" w:cs="SimSun" w:eastAsia="SimSun" w:hAnsi="SimSun"/>
          <w:rtl w:val="0"/>
        </w:rPr>
        <w:t xml:space="preserve">·清除和處理標準</w:t>
      </w:r>
    </w:p>
    <w:p w:rsidR="00000000" w:rsidDel="00000000" w:rsidP="00000000" w:rsidRDefault="00000000" w:rsidRPr="00000000">
      <w:pPr>
        <w:ind w:firstLine="432"/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SimSun" w:cs="SimSun" w:eastAsia="SimSun" w:hAnsi="SimSun"/>
          <w:rtl w:val="0"/>
        </w:rPr>
        <w:t xml:space="preserve">·使用權、知識產權、生物倫理問題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432"/>
        <w:contextualSpacing w:val="0"/>
      </w:pPr>
      <w:r w:rsidDel="00000000" w:rsidR="00000000" w:rsidRPr="00000000">
        <w:rPr>
          <w:rtl w:val="0"/>
        </w:rPr>
        <w:t xml:space="preserve">任何一個植物園都應遵循這些基本原則，並根據現有條件和發展狀況做出適當調整。另外，有時在一些特定場合，還需要出台其他的有關政策措施。比如，如何接收捐贈者的饋贈、如何養護紀念樹、如何安置其他紀念物品，如何處理公眾評論與建議，或者如何將獨特資源融入到花園設計及其景觀發展乃至科普之中。</w:t>
      </w:r>
    </w:p>
    <w:p w:rsidR="00000000" w:rsidDel="00000000" w:rsidP="00000000" w:rsidRDefault="00000000" w:rsidRPr="00000000">
      <w:pPr>
        <w:ind w:firstLine="432"/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Cambria"/>
  <w:font w:name="SimSun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76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76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="276" w:lineRule="auto"/>
    </w:pPr>
    <w:rPr>
      <w:rFonts w:ascii="Cambria" w:cs="Cambria" w:eastAsia="Cambria" w:hAnsi="Cambria"/>
      <w:b w:val="1"/>
      <w:color w:val="4f81bd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="276" w:lineRule="auto"/>
    </w:pPr>
    <w:rPr>
      <w:rFonts w:ascii="Cambria" w:cs="Cambria" w:eastAsia="Cambria" w:hAnsi="Cambria"/>
      <w:b w:val="1"/>
      <w:i w:val="1"/>
      <w:color w:val="4f81bd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="276" w:lineRule="auto"/>
    </w:pPr>
    <w:rPr>
      <w:rFonts w:ascii="Cambria" w:cs="Cambria" w:eastAsia="Cambria" w:hAnsi="Cambria"/>
      <w:b w:val="0"/>
      <w:color w:val="243f6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200" w:line="276" w:lineRule="auto"/>
    </w:pPr>
    <w:rPr>
      <w:rFonts w:ascii="Cambria" w:cs="Cambria" w:eastAsia="Cambria" w:hAnsi="Cambria"/>
      <w:b w:val="0"/>
      <w:i w:val="1"/>
      <w:color w:val="243f60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300" w:before="0" w:line="240" w:lineRule="auto"/>
    </w:pPr>
    <w:rPr>
      <w:rFonts w:ascii="Cambria" w:cs="Cambria" w:eastAsia="Cambria" w:hAnsi="Cambria"/>
      <w:b w:val="0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="276" w:lineRule="auto"/>
    </w:pPr>
    <w:rPr>
      <w:rFonts w:ascii="Cambria" w:cs="Cambria" w:eastAsia="Cambria" w:hAnsi="Cambria"/>
      <w:b w:val="0"/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gif"/></Relationships>
</file>